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8BBC3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/>
          <w:sz w:val="28"/>
          <w:szCs w:val="28"/>
        </w:rPr>
      </w:pPr>
      <w:r w:rsidRPr="002B550C">
        <w:rPr>
          <w:rFonts w:asciiTheme="majorHAnsi" w:hAnsiTheme="majorHAnsi"/>
          <w:sz w:val="28"/>
          <w:szCs w:val="28"/>
        </w:rPr>
        <w:t>The chart below shows the expenditure on three categories with different proportions among residents in the UK in 2004.</w:t>
      </w:r>
    </w:p>
    <w:p w14:paraId="31A81610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2B550C">
        <w:rPr>
          <w:rFonts w:asciiTheme="majorHAnsi" w:hAnsiTheme="majorHAnsi" w:cs="Times"/>
          <w:noProof/>
          <w:sz w:val="28"/>
          <w:szCs w:val="28"/>
        </w:rPr>
        <w:drawing>
          <wp:inline distT="0" distB="0" distL="0" distR="0" wp14:anchorId="3AE4BDD7" wp14:editId="7453ABBB">
            <wp:extent cx="5608955" cy="3183890"/>
            <wp:effectExtent l="0" t="0" r="4445" b="0"/>
            <wp:docPr id="12" name="图片 12" descr="Macintosh HD:Users:cao:Desktop:屏幕快照 2015-03-19 下午5.38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cintosh HD:Users:cao:Desktop:屏幕快照 2015-03-19 下午5.38.0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1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31EB5" w14:textId="4778CB29" w:rsidR="002B550C" w:rsidRPr="002A4E79" w:rsidRDefault="002A4E79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b/>
          <w:bCs/>
          <w:sz w:val="28"/>
          <w:szCs w:val="28"/>
          <w:u w:val="single"/>
        </w:rPr>
      </w:pPr>
      <w:bookmarkStart w:id="0" w:name="_GoBack"/>
      <w:r w:rsidRPr="002A4E79">
        <w:rPr>
          <w:rFonts w:asciiTheme="majorHAnsi" w:hAnsiTheme="majorHAnsi" w:cs="Times"/>
          <w:b/>
          <w:bCs/>
          <w:sz w:val="28"/>
          <w:szCs w:val="28"/>
          <w:u w:val="single"/>
        </w:rPr>
        <w:t>SAMPLE</w:t>
      </w:r>
      <w:r w:rsidR="002B550C" w:rsidRPr="002A4E79">
        <w:rPr>
          <w:rFonts w:asciiTheme="majorHAnsi" w:hAnsiTheme="majorHAnsi" w:cs="Times"/>
          <w:b/>
          <w:bCs/>
          <w:sz w:val="28"/>
          <w:szCs w:val="28"/>
          <w:u w:val="single"/>
        </w:rPr>
        <w:t>：</w:t>
      </w:r>
    </w:p>
    <w:bookmarkEnd w:id="0"/>
    <w:p w14:paraId="2D9DD6C1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2B550C">
        <w:rPr>
          <w:rFonts w:asciiTheme="majorHAnsi" w:hAnsiTheme="majorHAnsi" w:cs="Book Antiqua"/>
          <w:sz w:val="28"/>
          <w:szCs w:val="28"/>
        </w:rPr>
        <w:t xml:space="preserve">Displayed in the bar chart are the expenses on three types with various percentages of the British residents in 2004. </w:t>
      </w:r>
    </w:p>
    <w:p w14:paraId="1B446B27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2B550C">
        <w:rPr>
          <w:rFonts w:asciiTheme="majorHAnsi" w:hAnsiTheme="majorHAnsi" w:cs="Book Antiqua"/>
          <w:sz w:val="28"/>
          <w:szCs w:val="28"/>
        </w:rPr>
        <w:t xml:space="preserve">It is manifest from the chart that the proportion of spending on food and drinks showed an upward trend with age, with approximately 6% for the under 30 years old group and around 25% for the over 75 years olds. </w:t>
      </w:r>
    </w:p>
    <w:p w14:paraId="2ACF841F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2B550C">
        <w:rPr>
          <w:rFonts w:asciiTheme="majorHAnsi" w:hAnsiTheme="majorHAnsi" w:cs="Book Antiqua"/>
          <w:sz w:val="28"/>
          <w:szCs w:val="28"/>
        </w:rPr>
        <w:t xml:space="preserve">Similarly, the data for entertainment </w:t>
      </w:r>
      <w:r w:rsidR="008E07F1">
        <w:rPr>
          <w:rFonts w:asciiTheme="majorHAnsi" w:hAnsiTheme="majorHAnsi" w:cs="Book Antiqua"/>
          <w:sz w:val="28"/>
          <w:szCs w:val="28"/>
        </w:rPr>
        <w:t>had</w:t>
      </w:r>
      <w:r w:rsidRPr="002B550C">
        <w:rPr>
          <w:rFonts w:asciiTheme="majorHAnsi" w:hAnsiTheme="majorHAnsi" w:cs="Book Antiqua"/>
          <w:sz w:val="28"/>
          <w:szCs w:val="28"/>
        </w:rPr>
        <w:t xml:space="preserve"> a dramatic rise with age, which was roughly 7% for the youngest group and 23% for the 60-75 years old group, in spite of a sharp decline for the oldest group. </w:t>
      </w:r>
    </w:p>
    <w:p w14:paraId="760C61A4" w14:textId="77777777" w:rsidR="002B550C" w:rsidRPr="002B550C" w:rsidRDefault="002B550C" w:rsidP="002B550C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2B550C">
        <w:rPr>
          <w:rFonts w:asciiTheme="majorHAnsi" w:hAnsiTheme="majorHAnsi" w:cs="Book Antiqua"/>
          <w:sz w:val="28"/>
          <w:szCs w:val="28"/>
        </w:rPr>
        <w:lastRenderedPageBreak/>
        <w:t xml:space="preserve">On the other hand, the figures for restaurant generally fell gradually from about 14% of the people under their thirties to 7% of the people over 75 years old. It is worth noticing that middle-aged people and elder people shared nearly the same percentage of spending on accommodation, with a gap of no more than 10%. </w:t>
      </w:r>
    </w:p>
    <w:p w14:paraId="540ABC40" w14:textId="77777777" w:rsidR="00C47789" w:rsidRPr="002B550C" w:rsidRDefault="002B550C" w:rsidP="002B550C">
      <w:pPr>
        <w:rPr>
          <w:rFonts w:asciiTheme="majorHAnsi" w:hAnsiTheme="majorHAnsi"/>
          <w:sz w:val="28"/>
          <w:szCs w:val="28"/>
        </w:rPr>
      </w:pPr>
      <w:r w:rsidRPr="002B550C">
        <w:rPr>
          <w:rFonts w:asciiTheme="majorHAnsi" w:hAnsiTheme="majorHAnsi" w:cs="Book Antiqua"/>
          <w:sz w:val="28"/>
          <w:szCs w:val="28"/>
        </w:rPr>
        <w:t>To conclude, the chart shows how the percentage of cost on food, drinks and entertainment increased while that of accommodation decreased with age in 2004.</w:t>
      </w:r>
    </w:p>
    <w:sectPr w:rsidR="00C47789" w:rsidRPr="002B550C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50C"/>
    <w:rsid w:val="00035FC2"/>
    <w:rsid w:val="002A4E79"/>
    <w:rsid w:val="002B550C"/>
    <w:rsid w:val="008E07F1"/>
    <w:rsid w:val="00C4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4F0727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550C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50C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550C"/>
    <w:rPr>
      <w:rFonts w:ascii="Heiti SC Light" w:eastAsia="Heiti SC Light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3</cp:revision>
  <dcterms:created xsi:type="dcterms:W3CDTF">2016-06-24T03:58:00Z</dcterms:created>
  <dcterms:modified xsi:type="dcterms:W3CDTF">2020-01-29T03:19:00Z</dcterms:modified>
</cp:coreProperties>
</file>